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1419" w:tblpY="1815"/>
        <w:tblOverlap w:val="never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6458"/>
        <w:gridCol w:w="1835"/>
      </w:tblGrid>
      <w:tr w:rsidR="00B96002">
        <w:tc>
          <w:tcPr>
            <w:tcW w:w="637" w:type="dxa"/>
          </w:tcPr>
          <w:p w:rsidR="00B96002" w:rsidRDefault="00B96002">
            <w:pPr>
              <w:pStyle w:val="Normlnbezbl"/>
            </w:pPr>
            <w:bookmarkStart w:id="0" w:name="_GoBack"/>
            <w:bookmarkEnd w:id="0"/>
            <w:r>
              <w:t>02</w:t>
            </w:r>
          </w:p>
        </w:tc>
        <w:tc>
          <w:tcPr>
            <w:tcW w:w="426" w:type="dxa"/>
          </w:tcPr>
          <w:p w:rsidR="00B96002" w:rsidRDefault="00B96002">
            <w:pPr>
              <w:pStyle w:val="Normlnbezbl"/>
            </w:pPr>
            <w:r>
              <w:t>027</w:t>
            </w:r>
          </w:p>
        </w:tc>
        <w:tc>
          <w:tcPr>
            <w:tcW w:w="6458" w:type="dxa"/>
          </w:tcPr>
          <w:p w:rsidR="00B96002" w:rsidRDefault="00B96002">
            <w:pPr>
              <w:pStyle w:val="Normlnbezbl"/>
              <w:rPr>
                <w:snapToGrid w:val="0"/>
                <w:highlight w:val="black"/>
              </w:rPr>
            </w:pPr>
            <w:r>
              <w:rPr>
                <w:snapToGrid w:val="0"/>
              </w:rPr>
              <w:t>Příkaz k čerpání</w:t>
            </w:r>
          </w:p>
        </w:tc>
        <w:tc>
          <w:tcPr>
            <w:tcW w:w="1835" w:type="dxa"/>
          </w:tcPr>
          <w:p w:rsidR="00B96002" w:rsidRDefault="007871E1">
            <w:pPr>
              <w:rPr>
                <w:color w:val="FFFFFF"/>
              </w:rPr>
            </w:pP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page">
                        <wp:posOffset>-29210</wp:posOffset>
                      </wp:positionH>
                      <wp:positionV relativeFrom="page">
                        <wp:posOffset>-139700</wp:posOffset>
                      </wp:positionV>
                      <wp:extent cx="1233170" cy="132715"/>
                      <wp:effectExtent l="0" t="2540" r="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002" w:rsidRDefault="00B96002">
                                  <w:r>
                                    <w:t>klientské číslo:</w:t>
                                  </w:r>
                                  <w:r w:rsidR="00BF2AD2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2.3pt;margin-top:-11pt;width:97.1pt;height:10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kQrA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" filled="f" stroked="f">
                      <v:textbox inset="0,0,0,0">
                        <w:txbxContent>
                          <w:p w:rsidR="00B96002" w:rsidRDefault="00B96002">
                            <w:r>
                              <w:t>klientské číslo:</w:t>
                            </w:r>
                            <w:r w:rsidR="00BF2AD2"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B96002" w:rsidRDefault="007871E1">
      <w:pPr>
        <w:pStyle w:val="Nadpis1"/>
      </w:pPr>
      <w:r>
        <w:rPr>
          <w:noProof/>
          <w:sz w:val="20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page">
              <wp:posOffset>683260</wp:posOffset>
            </wp:positionH>
            <wp:positionV relativeFrom="page">
              <wp:posOffset>647065</wp:posOffset>
            </wp:positionV>
            <wp:extent cx="2372360" cy="466090"/>
            <wp:effectExtent l="0" t="0" r="8890" b="0"/>
            <wp:wrapNone/>
            <wp:docPr id="12" name="obrázek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002" w:rsidRDefault="00B96002">
      <w:pPr>
        <w:pStyle w:val="Nadpis1"/>
      </w:pPr>
      <w:r>
        <w:t>příkaz</w:t>
      </w:r>
    </w:p>
    <w:p w:rsidR="00B96002" w:rsidRDefault="00B96002">
      <w:pPr>
        <w:pStyle w:val="Nadpis2"/>
      </w:pPr>
      <w:r>
        <w:t xml:space="preserve">k čerpání úvěru reg. č. </w:t>
      </w:r>
    </w:p>
    <w:p w:rsidR="00B96002" w:rsidRDefault="00B96002">
      <w:pPr>
        <w:pStyle w:val="Nadpis3"/>
        <w:tabs>
          <w:tab w:val="right" w:pos="9072"/>
        </w:tabs>
      </w:pPr>
      <w:r>
        <w:t xml:space="preserve">I. Údaje o klientovi:                                                                                                         </w:t>
      </w:r>
    </w:p>
    <w:tbl>
      <w:tblPr>
        <w:tblW w:w="58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81"/>
        <w:gridCol w:w="3590"/>
      </w:tblGrid>
      <w:tr w:rsidR="00B96002" w:rsidTr="006476F1">
        <w:tc>
          <w:tcPr>
            <w:tcW w:w="2281" w:type="dxa"/>
            <w:shd w:val="clear" w:color="auto" w:fill="D9D9D9"/>
            <w:vAlign w:val="center"/>
          </w:tcPr>
          <w:p w:rsidR="00B96002" w:rsidRDefault="00B96002" w:rsidP="006476F1">
            <w:r>
              <w:t>Příjmení  a jméno (Název):</w:t>
            </w:r>
          </w:p>
        </w:tc>
        <w:tc>
          <w:tcPr>
            <w:tcW w:w="3590" w:type="dxa"/>
          </w:tcPr>
          <w:p w:rsidR="00B96002" w:rsidRDefault="00B96002" w:rsidP="00BF2AD2"/>
        </w:tc>
      </w:tr>
    </w:tbl>
    <w:p w:rsidR="00B96002" w:rsidRDefault="00B96002">
      <w:pPr>
        <w:pStyle w:val="Nadpis3"/>
      </w:pPr>
      <w:r>
        <w:t>II. Údaje o připravovaném čerpání:</w:t>
      </w:r>
    </w:p>
    <w:tbl>
      <w:tblPr>
        <w:tblW w:w="822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00"/>
        <w:gridCol w:w="3744"/>
        <w:gridCol w:w="2978"/>
      </w:tblGrid>
      <w:tr w:rsidR="00B96002" w:rsidTr="00381832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B96002" w:rsidRDefault="00B96002">
            <w:r>
              <w:t xml:space="preserve">Navrhované čerpání č. </w:t>
            </w:r>
          </w:p>
        </w:tc>
      </w:tr>
      <w:tr w:rsidR="00B96002" w:rsidTr="00381832">
        <w:trPr>
          <w:cantSplit/>
        </w:trPr>
        <w:tc>
          <w:tcPr>
            <w:tcW w:w="912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B96002" w:rsidRDefault="00B96002" w:rsidP="006476F1">
            <w:r>
              <w:t>Datum</w:t>
            </w:r>
          </w:p>
        </w:tc>
        <w:tc>
          <w:tcPr>
            <w:tcW w:w="227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6002" w:rsidRDefault="00B96002" w:rsidP="006476F1">
            <w:r>
              <w:t>Celkem</w:t>
            </w:r>
            <w:r w:rsidR="00502E5C">
              <w:t xml:space="preserve"> (včetně vlastních prostředků klienta převedených na </w:t>
            </w:r>
            <w:r w:rsidR="00381832" w:rsidRPr="00381832">
              <w:rPr>
                <w:color w:val="FF0000"/>
              </w:rPr>
              <w:t>ÚPČ/BČÚ *)</w:t>
            </w:r>
            <w:r w:rsidR="00502E5C">
              <w:t>)</w:t>
            </w:r>
          </w:p>
        </w:tc>
        <w:tc>
          <w:tcPr>
            <w:tcW w:w="181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noWrap/>
            <w:vAlign w:val="center"/>
          </w:tcPr>
          <w:p w:rsidR="00B96002" w:rsidRDefault="00B96002" w:rsidP="006476F1">
            <w:r>
              <w:t>Expresní čerpání *)</w:t>
            </w:r>
          </w:p>
        </w:tc>
      </w:tr>
      <w:tr w:rsidR="00B96002" w:rsidTr="00381832">
        <w:trPr>
          <w:cantSplit/>
          <w:trHeight w:val="17"/>
        </w:trPr>
        <w:tc>
          <w:tcPr>
            <w:tcW w:w="912" w:type="pct"/>
            <w:tcBorders>
              <w:top w:val="single" w:sz="6" w:space="0" w:color="auto"/>
            </w:tcBorders>
            <w:vAlign w:val="center"/>
          </w:tcPr>
          <w:p w:rsidR="00B96002" w:rsidRDefault="00B96002"/>
        </w:tc>
        <w:tc>
          <w:tcPr>
            <w:tcW w:w="2277" w:type="pct"/>
            <w:tcBorders>
              <w:top w:val="single" w:sz="6" w:space="0" w:color="auto"/>
            </w:tcBorders>
          </w:tcPr>
          <w:p w:rsidR="00B96002" w:rsidRDefault="00B96002"/>
        </w:tc>
        <w:tc>
          <w:tcPr>
            <w:tcW w:w="1810" w:type="pct"/>
            <w:tcBorders>
              <w:top w:val="single" w:sz="6" w:space="0" w:color="auto"/>
            </w:tcBorders>
            <w:vAlign w:val="center"/>
          </w:tcPr>
          <w:p w:rsidR="00B96002" w:rsidRDefault="00B96002">
            <w:pPr>
              <w:pStyle w:val="Normlnsted"/>
              <w:jc w:val="right"/>
            </w:pPr>
          </w:p>
        </w:tc>
      </w:tr>
    </w:tbl>
    <w:p w:rsidR="00B96002" w:rsidRDefault="00B96002"/>
    <w:p w:rsidR="00B96002" w:rsidRDefault="00B96002">
      <w:r>
        <w:t>a) účelové čerpání (</w:t>
      </w:r>
      <w:r w:rsidR="00502E5C">
        <w:t xml:space="preserve">součet </w:t>
      </w:r>
      <w:r>
        <w:t>max. výše dle znění Smlouvy čl. II.</w:t>
      </w:r>
      <w:r w:rsidR="00502E5C">
        <w:t xml:space="preserve"> a vlastních prostředků převáděných z</w:t>
      </w:r>
      <w:r w:rsidR="00381832">
        <w:t> </w:t>
      </w:r>
      <w:r w:rsidR="00502E5C" w:rsidRPr="00381832">
        <w:rPr>
          <w:color w:val="FF0000"/>
        </w:rPr>
        <w:t>ÚPČ</w:t>
      </w:r>
      <w:r w:rsidR="00381832" w:rsidRPr="00381832">
        <w:rPr>
          <w:color w:val="FF0000"/>
        </w:rPr>
        <w:t>/BČÚ *)</w:t>
      </w:r>
      <w:r>
        <w:t>)</w:t>
      </w:r>
    </w:p>
    <w:tbl>
      <w:tblPr>
        <w:tblW w:w="9291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8"/>
        <w:gridCol w:w="2326"/>
        <w:gridCol w:w="2863"/>
        <w:gridCol w:w="1418"/>
        <w:gridCol w:w="1312"/>
        <w:gridCol w:w="1024"/>
      </w:tblGrid>
      <w:tr w:rsidR="00B96002" w:rsidTr="007B5C38">
        <w:trPr>
          <w:cantSplit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6002" w:rsidRDefault="00B96002" w:rsidP="007B5C38">
            <w:r>
              <w:t>č.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6002" w:rsidRDefault="00B96002">
            <w:r>
              <w:t>Částka čerpání</w:t>
            </w:r>
          </w:p>
        </w:tc>
        <w:tc>
          <w:tcPr>
            <w:tcW w:w="1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6002" w:rsidRDefault="00B96002">
            <w:r>
              <w:t>Číslo účtu příjemce / Kód banky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6002" w:rsidRDefault="00B96002">
            <w:r>
              <w:t>VS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6002" w:rsidRDefault="00B96002">
            <w:r>
              <w:t>SS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96002" w:rsidRDefault="00B96002">
            <w:pPr>
              <w:jc w:val="center"/>
            </w:pPr>
            <w:r>
              <w:t>Prioritní položka *)</w:t>
            </w:r>
          </w:p>
        </w:tc>
      </w:tr>
      <w:tr w:rsidR="00B96002">
        <w:trPr>
          <w:cantSplit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2" w:rsidRDefault="00B96002">
            <w:pPr>
              <w:jc w:val="center"/>
            </w:pPr>
          </w:p>
        </w:tc>
      </w:tr>
      <w:tr w:rsidR="00B96002">
        <w:trPr>
          <w:cantSplit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 w:rsidP="00BF2AD2"/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F2AD2" w:rsidP="009608D3">
            <w:r>
              <w:t xml:space="preserve">    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2" w:rsidRDefault="00B96002">
            <w:pPr>
              <w:jc w:val="center"/>
            </w:pPr>
          </w:p>
        </w:tc>
      </w:tr>
      <w:tr w:rsidR="00B96002">
        <w:trPr>
          <w:cantSplit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F2AD2" w:rsidP="009608D3">
            <w:r>
              <w:t xml:space="preserve">      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2" w:rsidRDefault="00B96002">
            <w:pPr>
              <w:jc w:val="center"/>
            </w:pPr>
          </w:p>
        </w:tc>
      </w:tr>
      <w:tr w:rsidR="00B96002">
        <w:trPr>
          <w:cantSplit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2" w:rsidRDefault="00B96002">
            <w:pPr>
              <w:jc w:val="center"/>
            </w:pPr>
          </w:p>
        </w:tc>
      </w:tr>
      <w:tr w:rsidR="00B96002">
        <w:trPr>
          <w:cantSplit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2" w:rsidRDefault="00B96002">
            <w:pPr>
              <w:jc w:val="center"/>
            </w:pPr>
          </w:p>
        </w:tc>
      </w:tr>
      <w:tr w:rsidR="00B96002">
        <w:trPr>
          <w:cantSplit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2" w:rsidRDefault="00B96002">
            <w:pPr>
              <w:jc w:val="center"/>
            </w:pPr>
          </w:p>
        </w:tc>
      </w:tr>
    </w:tbl>
    <w:p w:rsidR="00B96002" w:rsidRDefault="00B96002">
      <w:pPr>
        <w:rPr>
          <w:iCs/>
          <w:szCs w:val="20"/>
        </w:rPr>
      </w:pPr>
    </w:p>
    <w:p w:rsidR="00B96002" w:rsidRDefault="00B96002">
      <w:r>
        <w:t>b) neúčelové čerpání</w:t>
      </w:r>
      <w:r w:rsidR="00FB6D4F">
        <w:t>/čerpání doplňkové části</w:t>
      </w:r>
      <w:r>
        <w:t xml:space="preserve"> (</w:t>
      </w:r>
      <w:r w:rsidR="00502E5C">
        <w:t xml:space="preserve">součet </w:t>
      </w:r>
      <w:r>
        <w:t>max. výše dle znění Smlouvy čl. II.</w:t>
      </w:r>
      <w:r w:rsidR="00502E5C">
        <w:t xml:space="preserve"> a vlastních prostředků převáděných z </w:t>
      </w:r>
      <w:r w:rsidR="00381832" w:rsidRPr="00381832">
        <w:rPr>
          <w:color w:val="FF0000"/>
        </w:rPr>
        <w:t>ÚPČ/BČÚ *)</w:t>
      </w:r>
      <w:r>
        <w:t>)</w:t>
      </w:r>
    </w:p>
    <w:tbl>
      <w:tblPr>
        <w:tblW w:w="9291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47"/>
        <w:gridCol w:w="2326"/>
        <w:gridCol w:w="2858"/>
        <w:gridCol w:w="1422"/>
        <w:gridCol w:w="1312"/>
        <w:gridCol w:w="1026"/>
      </w:tblGrid>
      <w:tr w:rsidR="00B96002" w:rsidTr="007B5C38">
        <w:trPr>
          <w:cantSplit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6002" w:rsidRDefault="00B96002" w:rsidP="007B5C38">
            <w:r>
              <w:t>č.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6002" w:rsidRDefault="00B96002">
            <w:r>
              <w:t>Částka čerpání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6002" w:rsidRDefault="00B96002">
            <w:r>
              <w:t>Číslo účtu příjemce / Kód banky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6002" w:rsidRDefault="00B96002">
            <w:r>
              <w:t>VS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96002" w:rsidRDefault="00B96002">
            <w:r>
              <w:t>SS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96002" w:rsidRDefault="00B96002">
            <w:pPr>
              <w:jc w:val="center"/>
            </w:pPr>
            <w:r>
              <w:t>Prioritní položka *)</w:t>
            </w:r>
          </w:p>
        </w:tc>
      </w:tr>
      <w:tr w:rsidR="00B96002">
        <w:trPr>
          <w:cantSplit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>
            <w: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2" w:rsidRDefault="00B96002">
            <w:pPr>
              <w:jc w:val="center"/>
            </w:pPr>
          </w:p>
        </w:tc>
      </w:tr>
      <w:tr w:rsidR="00B96002">
        <w:trPr>
          <w:cantSplit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6002" w:rsidRDefault="00B96002"/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2" w:rsidRDefault="00B96002">
            <w:pPr>
              <w:jc w:val="center"/>
            </w:pPr>
          </w:p>
        </w:tc>
      </w:tr>
    </w:tbl>
    <w:p w:rsidR="00B96002" w:rsidRDefault="00B96002">
      <w:pPr>
        <w:pStyle w:val="Nadpis2CSOB"/>
        <w:keepNext w:val="0"/>
        <w:spacing w:before="0" w:line="220" w:lineRule="exact"/>
        <w:outlineLvl w:val="9"/>
        <w:rPr>
          <w:rFonts w:eastAsia="Arial Unicode MS"/>
          <w:b/>
          <w:bCs w:val="0"/>
          <w:iCs w:val="0"/>
          <w:sz w:val="18"/>
        </w:rPr>
      </w:pPr>
      <w:r>
        <w:rPr>
          <w:rStyle w:val="Siln"/>
          <w:rFonts w:eastAsia="Arial Unicode MS"/>
          <w:b w:val="0"/>
          <w:iCs w:val="0"/>
          <w:sz w:val="18"/>
        </w:rPr>
        <w:t>*) uveďte ano, pokud se jedná o expresní čerpání nebo prioritní položku</w:t>
      </w:r>
    </w:p>
    <w:p w:rsidR="00B96002" w:rsidRDefault="00B96002">
      <w:pPr>
        <w:rPr>
          <w:iCs/>
          <w:szCs w:val="20"/>
        </w:rPr>
      </w:pPr>
    </w:p>
    <w:p w:rsidR="00B96002" w:rsidRDefault="00B96002">
      <w:pPr>
        <w:rPr>
          <w:iCs/>
          <w:szCs w:val="20"/>
        </w:rPr>
      </w:pPr>
    </w:p>
    <w:tbl>
      <w:tblPr>
        <w:tblW w:w="3817" w:type="pct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662"/>
        <w:gridCol w:w="2247"/>
      </w:tblGrid>
      <w:tr w:rsidR="00B96002" w:rsidTr="007871E1">
        <w:tc>
          <w:tcPr>
            <w:tcW w:w="3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96002" w:rsidRDefault="00B96002" w:rsidP="00066D2C">
            <w:r>
              <w:t xml:space="preserve">Vlastní prostředky převedené klientem na </w:t>
            </w:r>
            <w:r w:rsidR="00381832" w:rsidRPr="00381832">
              <w:rPr>
                <w:color w:val="FF0000"/>
              </w:rPr>
              <w:t>ÚPČ/BČÚ *)</w:t>
            </w:r>
            <w:r>
              <w:t xml:space="preserve"> použitelné v rámci nejbližšího čerpání Úvěru</w:t>
            </w:r>
          </w:p>
        </w:tc>
        <w:tc>
          <w:tcPr>
            <w:tcW w:w="1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6002" w:rsidRDefault="00B96002"/>
        </w:tc>
      </w:tr>
    </w:tbl>
    <w:p w:rsidR="00AF35F7" w:rsidRDefault="00AF35F7" w:rsidP="00AF35F7"/>
    <w:p w:rsidR="00AF35F7" w:rsidRDefault="00AF35F7" w:rsidP="00AF35F7">
      <w:r>
        <w:t>*) ÚPČ – účet pro čerpání patřícící Bance (pro úvěry schválené od 18.07.2016 včetně);</w:t>
      </w:r>
    </w:p>
    <w:p w:rsidR="00B96002" w:rsidRPr="007871E1" w:rsidRDefault="00AF35F7" w:rsidP="007871E1">
      <w:r>
        <w:t xml:space="preserve">    BČÚ – běžný čerpací účet klienta (pro úvěry schválené do 17.07.2016 včetně).</w:t>
      </w:r>
    </w:p>
    <w:p w:rsidR="00AF35F7" w:rsidRDefault="00AF35F7" w:rsidP="007871E1"/>
    <w:p w:rsidR="00AF35F7" w:rsidRPr="007871E1" w:rsidRDefault="00AF35F7" w:rsidP="007871E1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7B5C38" w:rsidTr="007871E1">
        <w:trPr>
          <w:trHeight w:val="536"/>
        </w:trPr>
        <w:tc>
          <w:tcPr>
            <w:tcW w:w="9214" w:type="dxa"/>
          </w:tcPr>
          <w:p w:rsidR="007B5C38" w:rsidRDefault="007B5C38" w:rsidP="007871E1">
            <w:r>
              <w:t xml:space="preserve">Pokud již Úvěr nebudete dále čerpat, </w:t>
            </w:r>
            <w:r w:rsidR="009C2EDB">
              <w:t xml:space="preserve">prosím zaškrtněte: </w:t>
            </w:r>
            <w:r w:rsidR="009C2EDB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EDB">
              <w:instrText xml:space="preserve"> FORMCHECKBOX </w:instrText>
            </w:r>
            <w:r w:rsidR="000844D6">
              <w:fldChar w:fldCharType="separate"/>
            </w:r>
            <w:r w:rsidR="009C2EDB">
              <w:fldChar w:fldCharType="end"/>
            </w:r>
          </w:p>
        </w:tc>
      </w:tr>
    </w:tbl>
    <w:p w:rsidR="00AF35F7" w:rsidRDefault="00AF35F7">
      <w:pPr>
        <w:pStyle w:val="Nadpis1CSOB"/>
        <w:keepNext w:val="0"/>
        <w:spacing w:line="220" w:lineRule="exact"/>
        <w:outlineLvl w:val="9"/>
        <w:rPr>
          <w:rFonts w:cs="Times New Roman"/>
          <w:bCs w:val="0"/>
          <w:smallCaps w:val="0"/>
          <w:kern w:val="0"/>
        </w:rPr>
      </w:pPr>
    </w:p>
    <w:p w:rsidR="00AF35F7" w:rsidRDefault="00AF35F7">
      <w:pPr>
        <w:pStyle w:val="Nadpis1CSOB"/>
        <w:keepNext w:val="0"/>
        <w:spacing w:line="220" w:lineRule="exact"/>
        <w:outlineLvl w:val="9"/>
        <w:rPr>
          <w:rFonts w:cs="Times New Roman"/>
          <w:bCs w:val="0"/>
          <w:smallCaps w:val="0"/>
          <w:kern w:val="0"/>
        </w:rPr>
      </w:pPr>
    </w:p>
    <w:p w:rsidR="00AF35F7" w:rsidRDefault="00AF35F7">
      <w:pPr>
        <w:pStyle w:val="Nadpis1CSOB"/>
        <w:keepNext w:val="0"/>
        <w:spacing w:line="220" w:lineRule="exact"/>
        <w:outlineLvl w:val="9"/>
        <w:rPr>
          <w:rFonts w:cs="Times New Roman"/>
          <w:bCs w:val="0"/>
          <w:smallCaps w:val="0"/>
          <w:kern w:val="0"/>
        </w:rPr>
      </w:pPr>
    </w:p>
    <w:p w:rsidR="00AF35F7" w:rsidRDefault="00AF35F7">
      <w:pPr>
        <w:pStyle w:val="Nadpis1CSOB"/>
        <w:keepNext w:val="0"/>
        <w:spacing w:line="220" w:lineRule="exact"/>
        <w:outlineLvl w:val="9"/>
        <w:rPr>
          <w:rFonts w:cs="Times New Roman"/>
          <w:bCs w:val="0"/>
          <w:smallCaps w:val="0"/>
          <w:kern w:val="0"/>
        </w:rPr>
      </w:pPr>
    </w:p>
    <w:p w:rsidR="00AF35F7" w:rsidRDefault="00AF35F7">
      <w:pPr>
        <w:pStyle w:val="Nadpis1CSOB"/>
        <w:keepNext w:val="0"/>
        <w:spacing w:line="220" w:lineRule="exact"/>
        <w:outlineLvl w:val="9"/>
        <w:rPr>
          <w:rFonts w:cs="Times New Roman"/>
          <w:bCs w:val="0"/>
          <w:smallCaps w:val="0"/>
          <w:kern w:val="0"/>
        </w:rPr>
      </w:pPr>
    </w:p>
    <w:p w:rsidR="00AF35F7" w:rsidRDefault="00AF35F7">
      <w:pPr>
        <w:pStyle w:val="Nadpis1CSOB"/>
        <w:keepNext w:val="0"/>
        <w:spacing w:line="220" w:lineRule="exact"/>
        <w:outlineLvl w:val="9"/>
        <w:rPr>
          <w:rFonts w:cs="Times New Roman"/>
          <w:bCs w:val="0"/>
          <w:smallCaps w:val="0"/>
          <w:kern w:val="0"/>
        </w:rPr>
      </w:pPr>
    </w:p>
    <w:p w:rsidR="00AF35F7" w:rsidRDefault="00AF35F7">
      <w:pPr>
        <w:pStyle w:val="Nadpis1CSOB"/>
        <w:keepNext w:val="0"/>
        <w:spacing w:line="220" w:lineRule="exact"/>
        <w:outlineLvl w:val="9"/>
        <w:rPr>
          <w:rFonts w:cs="Times New Roman"/>
          <w:bCs w:val="0"/>
          <w:smallCaps w:val="0"/>
          <w:kern w:val="0"/>
        </w:rPr>
      </w:pPr>
    </w:p>
    <w:p w:rsidR="00AF35F7" w:rsidRDefault="00AF35F7">
      <w:pPr>
        <w:pStyle w:val="Nadpis1CSOB"/>
        <w:keepNext w:val="0"/>
        <w:spacing w:line="220" w:lineRule="exact"/>
        <w:outlineLvl w:val="9"/>
        <w:rPr>
          <w:rFonts w:cs="Times New Roman"/>
          <w:bCs w:val="0"/>
          <w:smallCaps w:val="0"/>
          <w:kern w:val="0"/>
        </w:rPr>
      </w:pPr>
    </w:p>
    <w:p w:rsidR="00AF35F7" w:rsidRDefault="00AF35F7">
      <w:pPr>
        <w:pStyle w:val="Nadpis1CSOB"/>
        <w:keepNext w:val="0"/>
        <w:spacing w:line="220" w:lineRule="exact"/>
        <w:outlineLvl w:val="9"/>
        <w:rPr>
          <w:rFonts w:cs="Times New Roman"/>
          <w:bCs w:val="0"/>
          <w:smallCaps w:val="0"/>
          <w:kern w:val="0"/>
        </w:rPr>
      </w:pPr>
    </w:p>
    <w:p w:rsidR="00AF35F7" w:rsidRDefault="00AF35F7">
      <w:pPr>
        <w:pStyle w:val="Nadpis1CSOB"/>
        <w:keepNext w:val="0"/>
        <w:spacing w:line="220" w:lineRule="exact"/>
        <w:outlineLvl w:val="9"/>
        <w:rPr>
          <w:rFonts w:cs="Times New Roman"/>
          <w:bCs w:val="0"/>
          <w:smallCaps w:val="0"/>
          <w:kern w:val="0"/>
        </w:rPr>
      </w:pPr>
    </w:p>
    <w:p w:rsidR="00B96002" w:rsidRDefault="00B96002">
      <w:pPr>
        <w:pStyle w:val="Nadpis1CSOB"/>
        <w:keepNext w:val="0"/>
        <w:spacing w:line="220" w:lineRule="exact"/>
        <w:outlineLvl w:val="9"/>
        <w:rPr>
          <w:rFonts w:cs="Times New Roman"/>
          <w:bCs w:val="0"/>
          <w:smallCaps w:val="0"/>
          <w:kern w:val="0"/>
        </w:rPr>
      </w:pPr>
    </w:p>
    <w:p w:rsidR="00381832" w:rsidRPr="00394825" w:rsidRDefault="00381832" w:rsidP="00394825"/>
    <w:p w:rsidR="00B96002" w:rsidRDefault="007871E1">
      <w:r>
        <w:rPr>
          <w:bCs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899785" cy="1155065"/>
                <wp:effectExtent l="5080" t="10160" r="10160" b="63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1550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002" w:rsidRDefault="00B96002">
                            <w:pPr>
                              <w:pStyle w:val="Normlnsted"/>
                            </w:pPr>
                            <w:r>
                              <w:t>Klient souhlasí s výše uvedeným čerpáním Úvěru.</w:t>
                            </w:r>
                          </w:p>
                          <w:p w:rsidR="00B96002" w:rsidRDefault="00B96002">
                            <w:pPr>
                              <w:pStyle w:val="Normlnsted"/>
                            </w:pPr>
                            <w:r>
                              <w:t xml:space="preserve">Klient souhlasí s případnou změnou </w:t>
                            </w:r>
                            <w:r w:rsidR="00510267">
                              <w:t xml:space="preserve">data </w:t>
                            </w:r>
                            <w:r>
                              <w:t>čerpání Úvěru v případě zjištěných závažných okolností znemožňujících dodržet požadované datum čerpání Úvěru.</w:t>
                            </w:r>
                          </w:p>
                          <w:p w:rsidR="00B96002" w:rsidRDefault="00B96002" w:rsidP="00381832">
                            <w:pPr>
                              <w:pStyle w:val="Normlnsted"/>
                            </w:pPr>
                            <w:r>
                              <w:t xml:space="preserve">V případě označení minim. jedné položky čerpání Úvěru jako </w:t>
                            </w:r>
                            <w:r>
                              <w:rPr>
                                <w:u w:val="single"/>
                              </w:rPr>
                              <w:t>prioritní</w:t>
                            </w:r>
                            <w:r>
                              <w:t xml:space="preserve"> příp. čerpání jako </w:t>
                            </w:r>
                            <w:r>
                              <w:rPr>
                                <w:u w:val="single"/>
                              </w:rPr>
                              <w:t>expresní</w:t>
                            </w:r>
                            <w:r>
                              <w:t>, klient  výslovně souhlasí s účtováním poplatku ve výši dle Sazebníku Banky, který bude zúčtován ke dni provedení čerpání Úvěru.</w:t>
                            </w:r>
                            <w:r w:rsidR="00510267">
                              <w:t xml:space="preserve"> V případě, že se nejedná o spotřebitelský úvěr, si je klient dále vědom toho, že k čerpání dochází na základě jeho výslovného souhlasu a že v takovém případě </w:t>
                            </w:r>
                            <w:r w:rsidR="00E91C6D">
                              <w:t xml:space="preserve">tedy </w:t>
                            </w:r>
                            <w:r w:rsidR="00510267">
                              <w:t>nemá právo odstoupit od smlouvy o úvěru.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3.7pt;width:464.55pt;height:9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" o:allowoverlap="f" fillcolor="#dadada">
                <v:textbox>
                  <w:txbxContent>
                    <w:p w:rsidR="00B96002" w:rsidRDefault="00B96002">
                      <w:pPr>
                        <w:pStyle w:val="Normlnsted"/>
                      </w:pPr>
                      <w:r>
                        <w:t>Klient souhlasí s výše uvedeným čerpáním Úvěru.</w:t>
                      </w:r>
                    </w:p>
                    <w:p w:rsidR="00B96002" w:rsidRDefault="00B96002">
                      <w:pPr>
                        <w:pStyle w:val="Normlnsted"/>
                      </w:pPr>
                      <w:r>
                        <w:t xml:space="preserve">Klient souhlasí s případnou změnou </w:t>
                      </w:r>
                      <w:r w:rsidR="00510267">
                        <w:t xml:space="preserve">data </w:t>
                      </w:r>
                      <w:r>
                        <w:t>čerpání Úvěru v případě zjištěných závažných okolností znemožňujících dodržet požadované datum čerpání Úvěru.</w:t>
                      </w:r>
                    </w:p>
                    <w:p w:rsidR="00B96002" w:rsidRDefault="00B96002" w:rsidP="00381832">
                      <w:pPr>
                        <w:pStyle w:val="Normlnsted"/>
                      </w:pPr>
                      <w:r>
                        <w:t xml:space="preserve">V případě označení minim. jedné položky čerpání Úvěru jako </w:t>
                      </w:r>
                      <w:r>
                        <w:rPr>
                          <w:u w:val="single"/>
                        </w:rPr>
                        <w:t>prioritní</w:t>
                      </w:r>
                      <w:r>
                        <w:t xml:space="preserve"> příp. čerpání jako </w:t>
                      </w:r>
                      <w:r>
                        <w:rPr>
                          <w:u w:val="single"/>
                        </w:rPr>
                        <w:t>expresní</w:t>
                      </w:r>
                      <w:r>
                        <w:t>, klient  výslovně souhlasí s účtováním poplatku ve výši dle Sazebníku Banky, který bude zúčtován ke dni provedení čerpání Úvěru.</w:t>
                      </w:r>
                      <w:r w:rsidR="00510267">
                        <w:t xml:space="preserve"> V případě, že se nejedná o spotřebitelský úvěr, si je klient dále vědom toho, že k čerpání dochází na základě jeho výslovného souhlasu a že v takovém případě </w:t>
                      </w:r>
                      <w:r w:rsidR="00E91C6D">
                        <w:t xml:space="preserve">tedy </w:t>
                      </w:r>
                      <w:r w:rsidR="00510267">
                        <w:t>nemá právo odstoupit od smlouvy o úvěru.</w:t>
                      </w:r>
                    </w:p>
                  </w:txbxContent>
                </v:textbox>
              </v:shape>
            </w:pict>
          </mc:Fallback>
        </mc:AlternateContent>
      </w:r>
    </w:p>
    <w:p w:rsidR="00B96002" w:rsidRDefault="00B96002"/>
    <w:p w:rsidR="00B96002" w:rsidRDefault="00B96002"/>
    <w:p w:rsidR="00B96002" w:rsidRDefault="00B96002"/>
    <w:p w:rsidR="00B96002" w:rsidRDefault="00B96002"/>
    <w:p w:rsidR="00B96002" w:rsidRDefault="00B96002"/>
    <w:p w:rsidR="00B96002" w:rsidRDefault="00B96002"/>
    <w:p w:rsidR="00B96002" w:rsidRDefault="00B96002"/>
    <w:p w:rsidR="00B96002" w:rsidRDefault="00B96002"/>
    <w:p w:rsidR="00B96002" w:rsidRDefault="00B96002"/>
    <w:p w:rsidR="00381832" w:rsidRDefault="00381832"/>
    <w:p w:rsidR="00381832" w:rsidRDefault="00381832"/>
    <w:p w:rsidR="00381832" w:rsidRDefault="00381832"/>
    <w:p w:rsidR="00381832" w:rsidRDefault="00B96002">
      <w:r>
        <w:t xml:space="preserve"> </w:t>
      </w:r>
    </w:p>
    <w:p w:rsidR="00381832" w:rsidRDefault="00381832"/>
    <w:p w:rsidR="00B96002" w:rsidRDefault="00B96002">
      <w:r>
        <w:t>………………………………</w:t>
      </w:r>
      <w:r>
        <w:tab/>
      </w:r>
      <w:r>
        <w:tab/>
      </w:r>
      <w:r>
        <w:tab/>
      </w:r>
      <w:r w:rsidR="003600C4">
        <w:tab/>
        <w:t xml:space="preserve">         </w:t>
      </w:r>
      <w:r>
        <w:t xml:space="preserve"> …………………………………………</w:t>
      </w:r>
    </w:p>
    <w:p w:rsidR="003600C4" w:rsidRDefault="003600C4">
      <w:r>
        <w:t xml:space="preserve">               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klienta</w:t>
      </w:r>
    </w:p>
    <w:p w:rsidR="006B7AE8" w:rsidRDefault="006B7AE8"/>
    <w:p w:rsidR="006B7AE8" w:rsidRDefault="006B7AE8"/>
    <w:p w:rsidR="006B7AE8" w:rsidRDefault="006B7AE8" w:rsidP="006B7AE8">
      <w:pPr>
        <w:pStyle w:val="totoznost1"/>
        <w:tabs>
          <w:tab w:val="clear" w:pos="5670"/>
        </w:tabs>
        <w:spacing w:before="580" w:line="300" w:lineRule="exact"/>
      </w:pPr>
      <w:r>
        <w:t xml:space="preserve">Totožnost klienta ověřil </w:t>
      </w:r>
      <w:r w:rsidR="009608D3">
        <w:t>………………………………………………..</w:t>
      </w:r>
      <w:r>
        <w:t xml:space="preserve"> dne </w:t>
      </w:r>
      <w:r w:rsidR="009608D3">
        <w:t>…………………………………………</w:t>
      </w:r>
    </w:p>
    <w:p w:rsidR="006B7AE8" w:rsidRDefault="006B7AE8" w:rsidP="006B7AE8">
      <w:pPr>
        <w:pStyle w:val="totoznost2"/>
        <w:tabs>
          <w:tab w:val="left" w:pos="1560"/>
        </w:tabs>
        <w:spacing w:before="240" w:line="300" w:lineRule="exact"/>
      </w:pPr>
      <w:r>
        <w:t xml:space="preserve">podle dokladu(ů) </w:t>
      </w:r>
      <w:r>
        <w:tab/>
      </w:r>
    </w:p>
    <w:p w:rsidR="006B7AE8" w:rsidRDefault="006B7AE8" w:rsidP="006B7AE8">
      <w:pPr>
        <w:pStyle w:val="totoznost2"/>
        <w:tabs>
          <w:tab w:val="left" w:pos="1560"/>
        </w:tabs>
        <w:spacing w:before="40" w:line="300" w:lineRule="exact"/>
      </w:pPr>
      <w:r>
        <w:tab/>
      </w:r>
      <w:r>
        <w:fldChar w:fldCharType="begin">
          <w:ffData>
            <w:name w:val="FldOverilPodle2"/>
            <w:enabled/>
            <w:calcOnExit w:val="0"/>
            <w:textInput>
              <w:default w:val=" ..............................................................................................................................................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..............................................................................................................................................  </w:t>
      </w:r>
      <w:r>
        <w:fldChar w:fldCharType="end"/>
      </w:r>
    </w:p>
    <w:p w:rsidR="006B7AE8" w:rsidRDefault="006B7AE8" w:rsidP="006B7AE8">
      <w:pPr>
        <w:pStyle w:val="totoznost2"/>
        <w:tabs>
          <w:tab w:val="left" w:pos="1560"/>
        </w:tabs>
        <w:spacing w:before="40" w:line="300" w:lineRule="exact"/>
      </w:pPr>
      <w:r>
        <w:tab/>
      </w:r>
      <w:r>
        <w:fldChar w:fldCharType="begin">
          <w:ffData>
            <w:name w:val="FldOverilPodle3"/>
            <w:enabled/>
            <w:calcOnExit w:val="0"/>
            <w:textInput>
              <w:default w:val=" ..............................................................................................................................................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..............................................................................................................................................  </w:t>
      </w:r>
      <w:r>
        <w:fldChar w:fldCharType="end"/>
      </w:r>
    </w:p>
    <w:p w:rsidR="006B7AE8" w:rsidRDefault="006B7AE8" w:rsidP="006B7AE8">
      <w:pPr>
        <w:pStyle w:val="totoznost2"/>
        <w:tabs>
          <w:tab w:val="left" w:pos="1560"/>
        </w:tabs>
        <w:spacing w:before="40" w:line="300" w:lineRule="exact"/>
      </w:pPr>
      <w:r>
        <w:tab/>
      </w:r>
      <w:r>
        <w:fldChar w:fldCharType="begin">
          <w:ffData>
            <w:name w:val="FldOverilPodle4"/>
            <w:enabled/>
            <w:calcOnExit w:val="0"/>
            <w:textInput>
              <w:default w:val=" ..............................................................................................................................................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..............................................................................................................................................  </w:t>
      </w:r>
      <w:r>
        <w:fldChar w:fldCharType="end"/>
      </w:r>
    </w:p>
    <w:p w:rsidR="006B7AE8" w:rsidRDefault="006B7AE8" w:rsidP="006B7AE8">
      <w:r>
        <w:t>(název a číslo dokladu)</w:t>
      </w:r>
    </w:p>
    <w:p w:rsidR="00381832" w:rsidRDefault="00381832" w:rsidP="006B7AE8"/>
    <w:p w:rsidR="006B7AE8" w:rsidRDefault="006B7AE8" w:rsidP="006B7AE8">
      <w:pPr>
        <w:rPr>
          <w:b/>
        </w:rPr>
      </w:pPr>
      <w:r w:rsidRPr="00394825">
        <w:rPr>
          <w:b/>
        </w:rPr>
        <w:t>Podpis ověřovatele</w:t>
      </w:r>
      <w:r w:rsidR="00381832" w:rsidRPr="00394825">
        <w:rPr>
          <w:b/>
        </w:rPr>
        <w:t>:</w:t>
      </w:r>
      <w:r w:rsidRPr="00394825">
        <w:rPr>
          <w:b/>
        </w:rPr>
        <w:t xml:space="preserve"> </w:t>
      </w:r>
      <w:r w:rsidRPr="00394825">
        <w:rPr>
          <w:b/>
        </w:rPr>
        <w:tab/>
      </w:r>
    </w:p>
    <w:p w:rsidR="00381832" w:rsidRDefault="00381832" w:rsidP="006B7AE8">
      <w:pPr>
        <w:rPr>
          <w:b/>
        </w:rPr>
      </w:pPr>
    </w:p>
    <w:p w:rsidR="00381832" w:rsidRDefault="00381832" w:rsidP="006B7AE8">
      <w:pPr>
        <w:rPr>
          <w:b/>
        </w:rPr>
      </w:pPr>
    </w:p>
    <w:p w:rsidR="00381832" w:rsidRDefault="00381832" w:rsidP="006B7AE8">
      <w:pPr>
        <w:rPr>
          <w:b/>
        </w:rPr>
      </w:pPr>
    </w:p>
    <w:p w:rsidR="00381832" w:rsidRDefault="00381832" w:rsidP="00381832"/>
    <w:p w:rsidR="00381832" w:rsidRPr="00394825" w:rsidRDefault="00381832" w:rsidP="006B7AE8">
      <w:pPr>
        <w:rPr>
          <w:b/>
        </w:rPr>
      </w:pPr>
    </w:p>
    <w:sectPr w:rsidR="00381832" w:rsidRPr="00394825">
      <w:headerReference w:type="default" r:id="rId9"/>
      <w:footerReference w:type="default" r:id="rId10"/>
      <w:pgSz w:w="11906" w:h="16838" w:code="9"/>
      <w:pgMar w:top="397" w:right="1418" w:bottom="1004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D6" w:rsidRDefault="000844D6">
      <w:r>
        <w:separator/>
      </w:r>
    </w:p>
  </w:endnote>
  <w:endnote w:type="continuationSeparator" w:id="0">
    <w:p w:rsidR="000844D6" w:rsidRDefault="0008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KBCCE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02" w:rsidRDefault="007871E1">
    <w:pPr>
      <w:pStyle w:val="Zapati1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-99695</wp:posOffset>
          </wp:positionV>
          <wp:extent cx="1548130" cy="865505"/>
          <wp:effectExtent l="0" t="0" r="0" b="0"/>
          <wp:wrapNone/>
          <wp:docPr id="2" name="obrázek 2" descr="Clen_K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n_K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662305</wp:posOffset>
              </wp:positionH>
              <wp:positionV relativeFrom="paragraph">
                <wp:posOffset>-189865</wp:posOffset>
              </wp:positionV>
              <wp:extent cx="306070" cy="0"/>
              <wp:effectExtent l="5080" t="5080" r="12700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0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7C36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15pt,-14.95pt" to="76.25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" strokeweight=".5pt">
              <w10:wrap anchorx="page"/>
              <w10:anchorlock/>
            </v:line>
          </w:pict>
        </mc:Fallback>
      </mc:AlternateContent>
    </w:r>
    <w:r w:rsidR="00B96002">
      <w:t>Hypoteční banka, a.s., Praha 5, Radlická 333/150, PSČ: 150 57, IČ</w:t>
    </w:r>
    <w:r w:rsidR="004F09CC">
      <w:t>O</w:t>
    </w:r>
    <w:r w:rsidR="00B96002">
      <w:t>: 13584324</w:t>
    </w:r>
  </w:p>
  <w:p w:rsidR="00B96002" w:rsidRDefault="00B96002">
    <w:pPr>
      <w:pStyle w:val="Zapati2"/>
    </w:pPr>
    <w:r>
      <w:t>Společnost zapsána v obchodním rejstříku vedeném Městským soudem v Praze, oddíl B, vložka 3511</w:t>
    </w:r>
  </w:p>
  <w:p w:rsidR="00B96002" w:rsidRDefault="00B96002">
    <w:pPr>
      <w:pStyle w:val="Zapati1"/>
      <w:rPr>
        <w:rStyle w:val="slostrnky"/>
      </w:rPr>
    </w:pPr>
    <w:r>
      <w:t>Infolinka klientských služeb: 224 116 333; www.hypotecnibanka.cz</w:t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A7678">
      <w:rPr>
        <w:rStyle w:val="slostrnky"/>
        <w:noProof/>
      </w:rPr>
      <w:t>1</w:t>
    </w:r>
    <w:r>
      <w:rPr>
        <w:rStyle w:val="slostrnky"/>
      </w:rPr>
      <w:fldChar w:fldCharType="end"/>
    </w:r>
    <w: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A7678">
      <w:rPr>
        <w:rStyle w:val="slostrnky"/>
        <w:noProof/>
      </w:rPr>
      <w:t>2</w:t>
    </w:r>
    <w:r>
      <w:rPr>
        <w:rStyle w:val="slostrnky"/>
      </w:rPr>
      <w:fldChar w:fldCharType="end"/>
    </w:r>
  </w:p>
  <w:p w:rsidR="00B96002" w:rsidRDefault="00B96002">
    <w:pPr>
      <w:pStyle w:val="Zapat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D6" w:rsidRDefault="000844D6">
      <w:r>
        <w:separator/>
      </w:r>
    </w:p>
  </w:footnote>
  <w:footnote w:type="continuationSeparator" w:id="0">
    <w:p w:rsidR="000844D6" w:rsidRDefault="00084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02" w:rsidRDefault="00B96002">
    <w:pPr>
      <w:pStyle w:val="Zhlav"/>
      <w:rPr>
        <w:b/>
        <w:bCs/>
      </w:rPr>
    </w:pPr>
    <w:r>
      <w:rPr>
        <w:b/>
        <w:bCs/>
      </w:rPr>
      <w:tab/>
    </w:r>
    <w:r>
      <w:rPr>
        <w:b/>
        <w:bCs/>
      </w:rPr>
      <w:tab/>
      <w:t>DŮVĚRNÉ!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673"/>
    <w:multiLevelType w:val="hybridMultilevel"/>
    <w:tmpl w:val="7E6673A4"/>
    <w:lvl w:ilvl="0" w:tplc="35D0CDE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evenAndOddHeaders/>
  <w:drawingGridHorizontalSpacing w:val="57"/>
  <w:drawingGridVerticalSpacing w:val="57"/>
  <w:doNotShadeFormData/>
  <w:noPunctuationKerning/>
  <w:characterSpacingControl w:val="doNotCompress"/>
  <w:hdrShapeDefaults>
    <o:shapedefaults v:ext="edit" spidmax="2049">
      <o:colormru v:ext="edit" colors="gray,#dada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E1"/>
    <w:rsid w:val="00005ACD"/>
    <w:rsid w:val="00066D2C"/>
    <w:rsid w:val="000844D6"/>
    <w:rsid w:val="000F3735"/>
    <w:rsid w:val="001548C4"/>
    <w:rsid w:val="001F143B"/>
    <w:rsid w:val="001F47F1"/>
    <w:rsid w:val="00224975"/>
    <w:rsid w:val="00231890"/>
    <w:rsid w:val="00287DA0"/>
    <w:rsid w:val="002F3CD0"/>
    <w:rsid w:val="00313E95"/>
    <w:rsid w:val="003600C4"/>
    <w:rsid w:val="00381832"/>
    <w:rsid w:val="00394825"/>
    <w:rsid w:val="003A7678"/>
    <w:rsid w:val="004F09CC"/>
    <w:rsid w:val="00502E5C"/>
    <w:rsid w:val="0050303A"/>
    <w:rsid w:val="00510267"/>
    <w:rsid w:val="00534A4D"/>
    <w:rsid w:val="00583D44"/>
    <w:rsid w:val="005C4C10"/>
    <w:rsid w:val="005D53BD"/>
    <w:rsid w:val="005F333D"/>
    <w:rsid w:val="006315EE"/>
    <w:rsid w:val="006476F1"/>
    <w:rsid w:val="0066695C"/>
    <w:rsid w:val="006B7AE8"/>
    <w:rsid w:val="00722C81"/>
    <w:rsid w:val="007871E1"/>
    <w:rsid w:val="007B5C38"/>
    <w:rsid w:val="00810B3E"/>
    <w:rsid w:val="00860340"/>
    <w:rsid w:val="009608D3"/>
    <w:rsid w:val="0096194C"/>
    <w:rsid w:val="0098490F"/>
    <w:rsid w:val="009C2EDB"/>
    <w:rsid w:val="00A928BA"/>
    <w:rsid w:val="00AB6D79"/>
    <w:rsid w:val="00AF35F7"/>
    <w:rsid w:val="00B93F54"/>
    <w:rsid w:val="00B96002"/>
    <w:rsid w:val="00BA6BEF"/>
    <w:rsid w:val="00BB7092"/>
    <w:rsid w:val="00BF2AD2"/>
    <w:rsid w:val="00C07840"/>
    <w:rsid w:val="00C2037A"/>
    <w:rsid w:val="00C23155"/>
    <w:rsid w:val="00D60CC2"/>
    <w:rsid w:val="00D66CF2"/>
    <w:rsid w:val="00E91C6D"/>
    <w:rsid w:val="00F638DD"/>
    <w:rsid w:val="00FB6D4F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ay,#dadada"/>
    </o:shapedefaults>
    <o:shapelayout v:ext="edit">
      <o:idmap v:ext="edit" data="1"/>
    </o:shapelayout>
  </w:shapeDefaults>
  <w:decimalSymbol w:val=","/>
  <w:listSeparator w:val=";"/>
  <w15:chartTrackingRefBased/>
  <w15:docId w15:val="{62416480-8B86-47CF-8C57-422CE031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20" w:lineRule="exact"/>
    </w:pPr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pPr>
      <w:keepNext/>
      <w:spacing w:line="720" w:lineRule="exact"/>
      <w:outlineLvl w:val="0"/>
    </w:pPr>
    <w:rPr>
      <w:rFonts w:cs="Arial"/>
      <w:bCs/>
      <w:color w:val="808080"/>
      <w:kern w:val="32"/>
      <w:sz w:val="60"/>
      <w:szCs w:val="60"/>
    </w:rPr>
  </w:style>
  <w:style w:type="paragraph" w:styleId="Nadpis2">
    <w:name w:val="heading 2"/>
    <w:basedOn w:val="Normln"/>
    <w:next w:val="Normln"/>
    <w:qFormat/>
    <w:pPr>
      <w:keepNext/>
      <w:spacing w:line="290" w:lineRule="exact"/>
      <w:outlineLvl w:val="1"/>
    </w:pPr>
    <w:rPr>
      <w:rFonts w:cs="Arial"/>
      <w:bCs/>
      <w:iCs/>
      <w:color w:val="808080"/>
      <w:sz w:val="24"/>
    </w:rPr>
  </w:style>
  <w:style w:type="paragraph" w:styleId="Nadpis3">
    <w:name w:val="heading 3"/>
    <w:basedOn w:val="Normln"/>
    <w:next w:val="Normln"/>
    <w:qFormat/>
    <w:pPr>
      <w:keepNext/>
      <w:spacing w:before="440"/>
      <w:outlineLvl w:val="2"/>
    </w:pPr>
    <w:rPr>
      <w:rFonts w:cs="Arial"/>
      <w:b/>
      <w:bCs/>
      <w:szCs w:val="1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</w:pPr>
    <w:rPr>
      <w:color w:val="000000"/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dluznik">
    <w:name w:val="dluznik"/>
    <w:basedOn w:val="Normln"/>
    <w:pPr>
      <w:tabs>
        <w:tab w:val="left" w:pos="2552"/>
        <w:tab w:val="left" w:pos="6804"/>
      </w:tabs>
    </w:pPr>
    <w:rPr>
      <w:szCs w:val="18"/>
    </w:rPr>
  </w:style>
  <w:style w:type="paragraph" w:customStyle="1" w:styleId="Logo">
    <w:name w:val="Logo"/>
    <w:basedOn w:val="Normln"/>
    <w:pPr>
      <w:spacing w:line="240" w:lineRule="auto"/>
    </w:pPr>
    <w:rPr>
      <w:szCs w:val="18"/>
    </w:rPr>
  </w:style>
  <w:style w:type="paragraph" w:customStyle="1" w:styleId="Nadpis2CSOB">
    <w:name w:val="Nadpis 2 CSOB"/>
    <w:basedOn w:val="Nadpis2"/>
    <w:pPr>
      <w:spacing w:before="100" w:line="200" w:lineRule="exact"/>
    </w:pPr>
    <w:rPr>
      <w:color w:val="auto"/>
      <w:sz w:val="20"/>
      <w:szCs w:val="20"/>
    </w:rPr>
  </w:style>
  <w:style w:type="paragraph" w:customStyle="1" w:styleId="Nadpis3bez">
    <w:name w:val="Nadpis 3 bez"/>
    <w:basedOn w:val="Nadpis3"/>
    <w:pPr>
      <w:spacing w:before="0"/>
    </w:pPr>
    <w:rPr>
      <w:rFonts w:cs="Times New Roman"/>
      <w:szCs w:val="20"/>
    </w:rPr>
  </w:style>
  <w:style w:type="paragraph" w:customStyle="1" w:styleId="Nadpis1CSOB">
    <w:name w:val="Nadpis1 CSOB"/>
    <w:basedOn w:val="Nadpis1"/>
    <w:next w:val="Normln"/>
    <w:pPr>
      <w:spacing w:line="280" w:lineRule="exact"/>
    </w:pPr>
    <w:rPr>
      <w:smallCaps/>
      <w:color w:val="auto"/>
      <w:sz w:val="24"/>
      <w:szCs w:val="24"/>
    </w:rPr>
  </w:style>
  <w:style w:type="paragraph" w:customStyle="1" w:styleId="Normlnodsazen">
    <w:name w:val="Normální odsazen"/>
    <w:basedOn w:val="Normln"/>
    <w:pPr>
      <w:spacing w:before="220"/>
    </w:pPr>
    <w:rPr>
      <w:szCs w:val="18"/>
    </w:rPr>
  </w:style>
  <w:style w:type="paragraph" w:customStyle="1" w:styleId="Normlnbezbl">
    <w:name w:val="Normální bez bílá"/>
    <w:basedOn w:val="Normlnodsazen"/>
    <w:pPr>
      <w:spacing w:before="0"/>
    </w:pPr>
    <w:rPr>
      <w:color w:val="FFFFFF"/>
    </w:rPr>
  </w:style>
  <w:style w:type="paragraph" w:customStyle="1" w:styleId="odsazen">
    <w:name w:val="odsazen"/>
    <w:basedOn w:val="Normln"/>
    <w:pPr>
      <w:tabs>
        <w:tab w:val="left" w:pos="567"/>
      </w:tabs>
      <w:ind w:left="567" w:hanging="397"/>
    </w:pPr>
    <w:rPr>
      <w:szCs w:val="18"/>
    </w:rPr>
  </w:style>
  <w:style w:type="paragraph" w:customStyle="1" w:styleId="podpis">
    <w:name w:val="podpis"/>
    <w:basedOn w:val="Normln"/>
    <w:pPr>
      <w:tabs>
        <w:tab w:val="left" w:leader="dot" w:pos="3402"/>
        <w:tab w:val="left" w:pos="3969"/>
        <w:tab w:val="left" w:leader="dot" w:pos="6521"/>
        <w:tab w:val="right" w:leader="dot" w:pos="9072"/>
      </w:tabs>
      <w:spacing w:before="660"/>
    </w:pPr>
    <w:rPr>
      <w:szCs w:val="18"/>
    </w:rPr>
  </w:style>
  <w:style w:type="paragraph" w:customStyle="1" w:styleId="podpis2">
    <w:name w:val="podpis2"/>
    <w:basedOn w:val="podpis"/>
    <w:pPr>
      <w:tabs>
        <w:tab w:val="clear" w:pos="3402"/>
        <w:tab w:val="clear" w:pos="6521"/>
        <w:tab w:val="clear" w:pos="9072"/>
      </w:tabs>
    </w:pPr>
  </w:style>
  <w:style w:type="paragraph" w:customStyle="1" w:styleId="podpis3">
    <w:name w:val="podpis3"/>
    <w:basedOn w:val="podpis2"/>
    <w:pPr>
      <w:spacing w:before="0"/>
    </w:pPr>
  </w:style>
  <w:style w:type="paragraph" w:customStyle="1" w:styleId="totoznost1">
    <w:name w:val="totoznost1"/>
    <w:basedOn w:val="Nadpis3"/>
    <w:pPr>
      <w:tabs>
        <w:tab w:val="left" w:leader="dot" w:pos="5670"/>
        <w:tab w:val="right" w:leader="dot" w:pos="9072"/>
      </w:tabs>
      <w:spacing w:before="660"/>
    </w:pPr>
  </w:style>
  <w:style w:type="paragraph" w:customStyle="1" w:styleId="totoznost2">
    <w:name w:val="totoznost2"/>
    <w:basedOn w:val="totoznost1"/>
    <w:pPr>
      <w:tabs>
        <w:tab w:val="clear" w:pos="5670"/>
      </w:tabs>
    </w:pPr>
  </w:style>
  <w:style w:type="paragraph" w:customStyle="1" w:styleId="Zapati1">
    <w:name w:val="Zapati1"/>
    <w:basedOn w:val="Normln"/>
    <w:pPr>
      <w:tabs>
        <w:tab w:val="right" w:pos="9072"/>
      </w:tabs>
      <w:spacing w:line="180" w:lineRule="exact"/>
    </w:pPr>
    <w:rPr>
      <w:rFonts w:cs="OfficinaKBCCE"/>
      <w:sz w:val="14"/>
      <w:szCs w:val="14"/>
    </w:rPr>
  </w:style>
  <w:style w:type="paragraph" w:customStyle="1" w:styleId="Zapati2">
    <w:name w:val="Zapati2"/>
    <w:basedOn w:val="Zapati1"/>
    <w:pPr>
      <w:spacing w:line="170" w:lineRule="exact"/>
    </w:pPr>
    <w:rPr>
      <w:sz w:val="12"/>
      <w:szCs w:val="12"/>
    </w:rPr>
  </w:style>
  <w:style w:type="paragraph" w:customStyle="1" w:styleId="Normlnsted">
    <w:name w:val="Normální střed"/>
    <w:basedOn w:val="Normln"/>
    <w:pPr>
      <w:jc w:val="center"/>
    </w:pPr>
  </w:style>
  <w:style w:type="paragraph" w:customStyle="1" w:styleId="Normlnvpravo">
    <w:name w:val="Normální vpravo"/>
    <w:basedOn w:val="Normln"/>
    <w:pPr>
      <w:ind w:right="113"/>
      <w:jc w:val="right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  <w:bCs/>
    </w:rPr>
  </w:style>
  <w:style w:type="table" w:styleId="Mkatabulky">
    <w:name w:val="Table Grid"/>
    <w:basedOn w:val="Normlntabulka"/>
    <w:uiPriority w:val="59"/>
    <w:rsid w:val="007B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hssp/sites/procesy/sablony/Publikovane/&#218;v&#283;rov&#233;/&#268;erp&#225;n&#237;/P&#345;&#237;kaz%20k%20&#269;erp&#225;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D0A6-0780-465E-A4FD-523B5D9E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Příkaz%20k%20čerpání.dot</Template>
  <TotalTime>0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hypoteční banka, a</vt:lpstr>
    </vt:vector>
  </TitlesOfParts>
  <Company>ČMHB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hypoteční banka, a</dc:title>
  <dc:subject/>
  <dc:creator>Pšeničková Iveta</dc:creator>
  <cp:keywords/>
  <dc:description>Garant: odbor Zpracování obchodů_x000d_
Platnost od: 1. 1. 2015</dc:description>
  <cp:lastModifiedBy>Vernerová Michaela</cp:lastModifiedBy>
  <cp:revision>2</cp:revision>
  <cp:lastPrinted>2017-01-25T15:20:00Z</cp:lastPrinted>
  <dcterms:created xsi:type="dcterms:W3CDTF">2018-05-10T07:53:00Z</dcterms:created>
  <dcterms:modified xsi:type="dcterms:W3CDTF">2018-05-10T07:53:00Z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